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580799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30887515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882B6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med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17. – 22. april</w:t>
            </w:r>
            <w:r w:rsidR="00882B69">
              <w:rPr>
                <w:rFonts w:ascii="Times New Roman" w:hAnsi="Times New Roman" w:cs="Times New Roman"/>
                <w:b/>
                <w:sz w:val="22"/>
                <w:szCs w:val="22"/>
              </w:rPr>
              <w:t>om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16A81224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2AF5D01D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882B69">
        <w:rPr>
          <w:rFonts w:ascii="Times New Roman" w:hAnsi="Times New Roman" w:cs="Times New Roman"/>
          <w:sz w:val="20"/>
          <w:szCs w:val="20"/>
        </w:rPr>
        <w:t>JANEZ STRAŠEK   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6838B678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</w:t>
      </w:r>
      <w:r w:rsidR="00882B69">
        <w:rPr>
          <w:rFonts w:ascii="Times New Roman" w:hAnsi="Times New Roman" w:cs="Times New Roman"/>
          <w:sz w:val="20"/>
          <w:szCs w:val="20"/>
        </w:rPr>
        <w:t xml:space="preserve"> VESNA ZALOKAR   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55AC6BF" w14:textId="0D70955B" w:rsidR="00A7323A" w:rsidRDefault="00A7323A" w:rsidP="00882B69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r w:rsidR="00882B69">
        <w:rPr>
          <w:rFonts w:ascii="Times New Roman" w:hAnsi="Times New Roman" w:cs="Times New Roman"/>
          <w:sz w:val="20"/>
          <w:szCs w:val="20"/>
        </w:rPr>
        <w:t>FRANC PLAHUTA _________________________</w:t>
      </w:r>
    </w:p>
    <w:p w14:paraId="028F0243" w14:textId="77777777" w:rsidR="00882B69" w:rsidRPr="00B901CD" w:rsidRDefault="00882B69" w:rsidP="00882B69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EADF4" w14:textId="77777777" w:rsidR="001C10DA" w:rsidRDefault="001C10DA">
      <w:r>
        <w:separator/>
      </w:r>
    </w:p>
  </w:endnote>
  <w:endnote w:type="continuationSeparator" w:id="0">
    <w:p w14:paraId="507E85B6" w14:textId="77777777" w:rsidR="001C10DA" w:rsidRDefault="001C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8472D" w14:textId="77777777" w:rsidR="001C10DA" w:rsidRDefault="001C10DA">
      <w:r>
        <w:separator/>
      </w:r>
    </w:p>
  </w:footnote>
  <w:footnote w:type="continuationSeparator" w:id="0">
    <w:p w14:paraId="11CC62C7" w14:textId="77777777" w:rsidR="001C10DA" w:rsidRDefault="001C1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944919995">
    <w:abstractNumId w:val="3"/>
  </w:num>
  <w:num w:numId="2" w16cid:durableId="277685863">
    <w:abstractNumId w:val="8"/>
  </w:num>
  <w:num w:numId="3" w16cid:durableId="576593275">
    <w:abstractNumId w:val="7"/>
  </w:num>
  <w:num w:numId="4" w16cid:durableId="532235471">
    <w:abstractNumId w:val="1"/>
  </w:num>
  <w:num w:numId="5" w16cid:durableId="358359300">
    <w:abstractNumId w:val="2"/>
  </w:num>
  <w:num w:numId="6" w16cid:durableId="1017780033">
    <w:abstractNumId w:val="6"/>
  </w:num>
  <w:num w:numId="7" w16cid:durableId="915437248">
    <w:abstractNumId w:val="4"/>
  </w:num>
  <w:num w:numId="8" w16cid:durableId="312568702">
    <w:abstractNumId w:val="0"/>
  </w:num>
  <w:num w:numId="9" w16cid:durableId="1654680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66550"/>
    <w:rsid w:val="001747BC"/>
    <w:rsid w:val="00177F8D"/>
    <w:rsid w:val="001939D8"/>
    <w:rsid w:val="001B3FF4"/>
    <w:rsid w:val="001C10DA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82B69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712CB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Sanja Lupše</cp:lastModifiedBy>
  <cp:revision>3</cp:revision>
  <cp:lastPrinted>2012-09-13T12:15:00Z</cp:lastPrinted>
  <dcterms:created xsi:type="dcterms:W3CDTF">2024-11-08T13:18:00Z</dcterms:created>
  <dcterms:modified xsi:type="dcterms:W3CDTF">2024-11-08T13:20:00Z</dcterms:modified>
</cp:coreProperties>
</file>